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568421A0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6C72950D" w14:textId="77777777" w:rsidR="00283CD3" w:rsidRPr="00283CD3" w:rsidRDefault="00283CD3" w:rsidP="00283CD3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</w:pPr>
      <w:bookmarkStart w:id="0" w:name="_GoBack"/>
      <w:r w:rsidRPr="00283CD3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  <w:t xml:space="preserve">Rękojmia i gwarancja – nowe zasady reklamacji – Dyrektywa Omnibus, towarowa i cyfrowa </w:t>
      </w:r>
    </w:p>
    <w:bookmarkEnd w:id="0"/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77D41C27" w:rsidR="00D627E5" w:rsidRPr="004F2379" w:rsidRDefault="00283CD3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 marca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4FEBBA3D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F45EEC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283CD3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>Z. Kozienia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</w:t>
      </w:r>
      <w:r w:rsidRPr="00762631">
        <w:rPr>
          <w:rFonts w:ascii="Tahoma" w:hAnsi="Tahoma" w:cs="Tahoma"/>
        </w:rPr>
        <w:lastRenderedPageBreak/>
        <w:t>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9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83CD3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C71B84EA-F603-419A-BB1E-84FFF8E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64</cp:revision>
  <cp:lastPrinted>2022-10-04T08:19:00Z</cp:lastPrinted>
  <dcterms:created xsi:type="dcterms:W3CDTF">2019-02-25T13:59:00Z</dcterms:created>
  <dcterms:modified xsi:type="dcterms:W3CDTF">2023-02-08T14:03:00Z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